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20"/>
          <w:sz w:val="28"/>
          <w:szCs w:val="28"/>
        </w:rPr>
      </w:pPr>
      <w:bookmarkStart w:id="4" w:name="_GoBack"/>
      <w:bookmarkEnd w:id="4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spacing w:val="80"/>
          <w:sz w:val="28"/>
          <w:szCs w:val="28"/>
        </w:rPr>
      </w:pPr>
    </w:p>
    <w:p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28.05.2021                                                                                         № 1652</w:t>
      </w: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spacing w:val="8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и утверждения плана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финансово-хозяйственной деятельности муниципальных бюджетных и муниципальных автономных учреждений Богородского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Нижегородской области</w:t>
      </w: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ind w:firstLine="540"/>
        <w:rPr>
          <w:sz w:val="28"/>
          <w:szCs w:val="28"/>
        </w:rPr>
      </w:pPr>
    </w:p>
    <w:p>
      <w:pPr>
        <w:pStyle w:val="19"/>
        <w:spacing w:line="360" w:lineRule="auto"/>
        <w:ind w:firstLine="708" w:firstLineChars="2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consultantplus://offline/ref=8314893BD8957C2F6C9968347CCCA93D5458497192B754E276627C18C691D53B37072EBD56822D183146A5A3D8q0m6O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администрация Богородского муниципального округа Нижегородской области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Par36 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составления и утверждения плана финансово-хозяйственной деятельности муниципальных бюджетных и муниципальных автономных учреждений Богородского муниципального округа Нижегородской области согласно приложению к настоящему постановлению.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Богородского муниципального района Нижегородской области от 04.12.2019 № 3038 «Об утверждении порядка составления и утверждения плана финансово-хозяйственной деятельности муниципальных учреждений Богородского муниципального района Нижегородской области»;</w:t>
      </w:r>
    </w:p>
    <w:p>
      <w:pPr>
        <w:pStyle w:val="18"/>
        <w:spacing w:line="360" w:lineRule="auto"/>
        <w:ind w:firstLine="708" w:firstLineChars="2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Богородского муниципального района Нижегородской области от 28.04.2020 № 802 «О внесении изменения в приложение 1 к порядку составления и утверждения плана финансово-хозяйственной деятельности муниципальных учреждений Богородского муниципального района Нижегородской области, утвержденного постановлением администрации Богородского муниципального района Нижегородской области от 04.12.2019 № 3038».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>
      <w:pPr>
        <w:spacing w:line="360" w:lineRule="auto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- начальника финансового управления администрации Богородского муниципального округа Нижегородской области С.А. Солуянову.</w:t>
      </w:r>
    </w:p>
    <w:p>
      <w:pPr>
        <w:ind w:firstLine="560" w:firstLineChars="200"/>
        <w:jc w:val="both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both"/>
      </w:pPr>
      <w:r>
        <w:t xml:space="preserve">С.А.Солуянова </w:t>
      </w:r>
    </w:p>
    <w:p>
      <w:pPr>
        <w:jc w:val="both"/>
      </w:pPr>
      <w:r>
        <w:t>2-22-54</w:t>
      </w:r>
    </w:p>
    <w:p>
      <w:pPr>
        <w:jc w:val="both"/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1" w:bottom="1134" w:left="1701" w:header="284" w:footer="284" w:gutter="0"/>
          <w:cols w:space="708" w:num="1"/>
          <w:titlePg/>
          <w:docGrid w:linePitch="360" w:charSpace="0"/>
        </w:sectPr>
      </w:pPr>
    </w:p>
    <w:p>
      <w:pPr>
        <w:jc w:val="both"/>
      </w:pPr>
    </w:p>
    <w:p>
      <w:pPr>
        <w:wordWrap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adjustRightInd w:val="0"/>
        <w:ind w:left="5103"/>
        <w:jc w:val="center"/>
        <w:outlineLvl w:val="0"/>
        <w:rPr>
          <w:sz w:val="28"/>
          <w:szCs w:val="28"/>
        </w:rPr>
      </w:pP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Богородского муниципального </w:t>
      </w: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округа Нижегородской области</w:t>
      </w:r>
    </w:p>
    <w:p>
      <w:pPr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28.05.2021 № 1652</w:t>
      </w:r>
    </w:p>
    <w:p>
      <w:pPr>
        <w:ind w:firstLine="540"/>
        <w:jc w:val="both"/>
        <w:rPr>
          <w:sz w:val="28"/>
          <w:szCs w:val="28"/>
        </w:rPr>
      </w:pPr>
      <w:bookmarkStart w:id="0" w:name="Par54"/>
      <w:bookmarkEnd w:id="0"/>
    </w:p>
    <w:p>
      <w:pPr>
        <w:ind w:firstLine="540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1" w:name="Par36"/>
      <w:bookmarkEnd w:id="1"/>
      <w:r>
        <w:rPr>
          <w:b/>
          <w:sz w:val="28"/>
          <w:szCs w:val="28"/>
        </w:rPr>
        <w:t>ПОРЯДОК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составления и утверждения плана финансово-хозяйственной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муниципальных бюджетных и муниципальных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автономных учреждений Богородского муниципального округа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>
      <w:pPr>
        <w:ind w:firstLine="562" w:firstLineChars="200"/>
        <w:jc w:val="center"/>
        <w:outlineLvl w:val="1"/>
        <w:rPr>
          <w:b/>
          <w:sz w:val="28"/>
          <w:szCs w:val="28"/>
        </w:rPr>
      </w:pPr>
    </w:p>
    <w:p>
      <w:pPr>
        <w:ind w:firstLine="562" w:firstLineChars="20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ind w:firstLine="562" w:firstLineChars="200"/>
        <w:jc w:val="center"/>
        <w:outlineLvl w:val="1"/>
        <w:rPr>
          <w:b/>
          <w:sz w:val="28"/>
          <w:szCs w:val="28"/>
        </w:rPr>
      </w:pP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правила составления и утверждения Планов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финансово-хозяйственной деятельности муниципальных бюджетных и муниципальных автономных учреждений Богородского муниципального округа Нижегородской области (далее – План).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1.2. Подготовка Плана осуществляется в соответствии с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№ 186н (далее - Требования) и настоящим Порядком.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1.3. План составляется и утверждается на текущий финансовый год в случае, если решение о бюджете утверждается на один финансовый год, либо на текущий финансовый год и плановый период, если решение о бюджете утверждается на очередной финансовый год и плановый период, и действует в течение срока действия решения о бюджете.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муниципальным бюджетным и муниципальным автономным учреждением Богородского муниципального округа Нижегородской области (далее – учреждение)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>
      <w:pPr>
        <w:adjustRightInd w:val="0"/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 настоящим Порядком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 составляется по кассовому методу в валюте Российской Федерации с точностью до двух знаков после запятой. </w:t>
      </w: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составлению Плана</w:t>
      </w: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2.1. При составлении Плана (внесении изменений в него) устанавливается (уточняется) плановый объем поступлений и выплат денежных средств (рекомендуемый образец Плана приведен в приложении к Требованиям).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составляется на основании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Par1030 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обоснований (расчетов)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плановых показателей поступлений и выплат формируемых в соответствии с главой III Требований.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Расчет расходов осуществляется раздельно по источникам их финансового обеспечения.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 составляет проект Плана при формировании проекта решения о бюджете на очередной финансовый год (очередной финансовый год и плановый период) на основании информации о планируемых к предоставлению из бюджета Богородского муниципального округа Нижегородской области объемах субсидий полученной от органа, осуществляющего функции и полномочия учредителя (администрация Богородского муниципального округа Нижегородской области либо структурное подразделение администрации Богородского муниципального округа Нижегородской области отраслевой компетенции, в ведении которого находится муниципальное учреждение, осуществляющее полномочия от имени администрации Богородского муниципального округа Нижегородской области) в отношении Учреждений: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1) с учетом планируемых объемов поступлений: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а) субсидии на финансовое обеспечение выполнения муниципального задания;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б) субсидий, предусмотренных абзацем вторым пункта 1 статьи 78.1 Бюджетного кодекса Российской Федерации (далее - целевые субсидии), и целей их предоставления;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в)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 на осуществление капитальных вложений);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д)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2.3. Учреждение, имеющее обособленное(ые) подразделение(я), формирует проект Плана учреждения на основании проекта Плана головного учреждения, сформированного без учета обособленных подразделений, и проекта(ов) Плана(ов) обособленного(ых) подразделения(й) без учета расчетов между головным учреждением и обособленным(и) подразделением(ями).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2.4.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а) планируемых поступлений: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б) планируемых выплат: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- по кодам видов расходов классификации расходов бюджетов;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в) перечисления средств в рамках расчетов между головным учреждением и обособленным(и) подразделением(ями)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2.5. Изменение показателей Плана в течение текущего финансового года должно осуществляться в связи с: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изменением объема услуг (работ), предоставляемых за плату;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изменением объемов безвозмездных поступлений от юридических и физических лиц;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>
      <w:pPr>
        <w:ind w:firstLine="708" w:firstLineChars="253"/>
        <w:jc w:val="both"/>
        <w:rPr>
          <w:sz w:val="28"/>
          <w:szCs w:val="28"/>
        </w:rPr>
      </w:pPr>
      <w:bookmarkStart w:id="2" w:name="Par84"/>
      <w:bookmarkEnd w:id="2"/>
      <w:r>
        <w:rPr>
          <w:sz w:val="28"/>
          <w:szCs w:val="28"/>
        </w:rPr>
        <w:t>в) проведением реорганизации учреждения.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2.6.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2.7.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2.8 Порядка.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2.8.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а) при поступлении в текущем финансовом году: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сумм возврата дебиторской задолженности прошлых лет;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сумм, поступивших по решению суда или на основании исполнительных документов;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б) при необходимости осуществления выплат: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возмещению ущерба;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суда, на основании исполнительных документов;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 уплате штрафов, в том числе административных.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внесении изменений в показатели Плана в случае, установленном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\l Par84 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подпунктом "в" пункта 2.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5 Порядка, при реорганизации: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деятельность, путем построчного объединения (суммирования) показателей поступлений и выплат;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реорганизации.</w:t>
      </w: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  <w:bookmarkStart w:id="3" w:name="Par103"/>
      <w:bookmarkEnd w:id="3"/>
      <w:r>
        <w:rPr>
          <w:b/>
          <w:sz w:val="28"/>
          <w:szCs w:val="28"/>
        </w:rPr>
        <w:t>4. Требования к утверждению Плана</w:t>
      </w:r>
    </w:p>
    <w:p>
      <w:pPr>
        <w:ind w:firstLine="711" w:firstLineChars="253"/>
        <w:jc w:val="center"/>
        <w:outlineLvl w:val="1"/>
        <w:rPr>
          <w:b/>
          <w:sz w:val="28"/>
          <w:szCs w:val="28"/>
        </w:rPr>
      </w:pPr>
    </w:p>
    <w:p>
      <w:pPr>
        <w:ind w:firstLine="708" w:firstLineChars="25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4.1. План муниципального бюджетного учреждения (План с учетом изменений) утверждается руководителем учреждения (уполномоченным им лицом).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4.2. План муниципального автономного учреждения (План с учетом изменений) утверждается руководителем учреждения (уполномоченным им лицом) после рассмотрения проекта Плана наблюдательным советом автономного учреждения.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Учреждение, имеющее обособленное(ые) подразделение(я), на основании Плана, утвержденного в соответствии с пунктами 4.1 и 4.2 Порядка, утверждает План головного учреждения без учета обособленного(ых) подразделения(ий) и План для каждого обособленного подразделения, включающие показатели расчетов между головным учреждением и обособленным(и) подразделением(ями).</w:t>
      </w:r>
    </w:p>
    <w:p>
      <w:pPr>
        <w:ind w:firstLine="708" w:firstLineChars="253"/>
        <w:jc w:val="both"/>
        <w:rPr>
          <w:sz w:val="28"/>
          <w:szCs w:val="28"/>
        </w:rPr>
      </w:pPr>
      <w:r>
        <w:rPr>
          <w:sz w:val="28"/>
          <w:szCs w:val="28"/>
        </w:rPr>
        <w:t>4.4. План Учреждения (обособленного подразделения) должен быть утвержден не позднее 10 дней после доведения до Учреждения муниципального задания.</w:t>
      </w:r>
    </w:p>
    <w:p>
      <w:pPr>
        <w:ind w:firstLine="708" w:firstLineChars="253"/>
        <w:jc w:val="both"/>
        <w:rPr>
          <w:sz w:val="28"/>
          <w:szCs w:val="28"/>
        </w:rPr>
      </w:pPr>
    </w:p>
    <w:p>
      <w:pPr>
        <w:ind w:firstLine="708" w:firstLineChars="253"/>
        <w:jc w:val="center"/>
      </w:pPr>
      <w:r>
        <w:rPr>
          <w:sz w:val="28"/>
          <w:szCs w:val="28"/>
        </w:rPr>
        <w:t>_______________________</w:t>
      </w:r>
    </w:p>
    <w:sectPr>
      <w:headerReference r:id="rId9" w:type="first"/>
      <w:headerReference r:id="rId8" w:type="default"/>
      <w:pgSz w:w="11906" w:h="16838"/>
      <w:pgMar w:top="1134" w:right="850" w:bottom="1134" w:left="1701" w:header="284" w:footer="284" w:gutter="0"/>
      <w:pgNumType w:start="1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2</w:t>
    </w:r>
    <w:r>
      <w:rPr>
        <w:rStyle w:val="6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  <w:r>
      <w:rPr>
        <w:b/>
        <w:bCs/>
      </w:rPr>
      <w:object>
        <v:shape id="_x0000_i1025" o:spt="75" type="#_x0000_t75" style="height:54.2pt;width:50.15pt;" o:ole="t" fillcolor="#000011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displayVerticalDrawingGridEvery w:val="1"/>
  <w:noPunctuationKerning w:val="1"/>
  <w:characterSpacingControl w:val="doNotCompress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60"/>
    <w:rsid w:val="000462D6"/>
    <w:rsid w:val="00047364"/>
    <w:rsid w:val="00066E0F"/>
    <w:rsid w:val="00090EAB"/>
    <w:rsid w:val="000D02CA"/>
    <w:rsid w:val="000D3F8B"/>
    <w:rsid w:val="000E193D"/>
    <w:rsid w:val="000F5C65"/>
    <w:rsid w:val="0010096D"/>
    <w:rsid w:val="00114073"/>
    <w:rsid w:val="0012156C"/>
    <w:rsid w:val="00121908"/>
    <w:rsid w:val="00127FBD"/>
    <w:rsid w:val="0013513E"/>
    <w:rsid w:val="001376EE"/>
    <w:rsid w:val="00143A11"/>
    <w:rsid w:val="00147891"/>
    <w:rsid w:val="00151240"/>
    <w:rsid w:val="00172563"/>
    <w:rsid w:val="001743A6"/>
    <w:rsid w:val="001809C7"/>
    <w:rsid w:val="0018362F"/>
    <w:rsid w:val="00190D41"/>
    <w:rsid w:val="001A5EA6"/>
    <w:rsid w:val="001C0E63"/>
    <w:rsid w:val="001C3CE4"/>
    <w:rsid w:val="001C6655"/>
    <w:rsid w:val="001C7B99"/>
    <w:rsid w:val="001D6A4C"/>
    <w:rsid w:val="001E21D8"/>
    <w:rsid w:val="001F0E34"/>
    <w:rsid w:val="00220F17"/>
    <w:rsid w:val="0022658E"/>
    <w:rsid w:val="002373D2"/>
    <w:rsid w:val="00242DF9"/>
    <w:rsid w:val="0027590C"/>
    <w:rsid w:val="00280C92"/>
    <w:rsid w:val="0028251C"/>
    <w:rsid w:val="002A58A0"/>
    <w:rsid w:val="002B56AB"/>
    <w:rsid w:val="002C5C0E"/>
    <w:rsid w:val="002D4878"/>
    <w:rsid w:val="002E4CAC"/>
    <w:rsid w:val="002F2400"/>
    <w:rsid w:val="002F2B3E"/>
    <w:rsid w:val="003005FA"/>
    <w:rsid w:val="0030584F"/>
    <w:rsid w:val="00305EB7"/>
    <w:rsid w:val="00332969"/>
    <w:rsid w:val="00334803"/>
    <w:rsid w:val="00335EF7"/>
    <w:rsid w:val="00341ABB"/>
    <w:rsid w:val="00347B86"/>
    <w:rsid w:val="00350B8C"/>
    <w:rsid w:val="00382176"/>
    <w:rsid w:val="00382DF9"/>
    <w:rsid w:val="003925DE"/>
    <w:rsid w:val="00392A68"/>
    <w:rsid w:val="003B009A"/>
    <w:rsid w:val="003B02C9"/>
    <w:rsid w:val="003E4919"/>
    <w:rsid w:val="00400BEB"/>
    <w:rsid w:val="004026E4"/>
    <w:rsid w:val="00402ED9"/>
    <w:rsid w:val="00405B5C"/>
    <w:rsid w:val="00405CE3"/>
    <w:rsid w:val="00416000"/>
    <w:rsid w:val="004214DB"/>
    <w:rsid w:val="00434E84"/>
    <w:rsid w:val="00445309"/>
    <w:rsid w:val="0044688D"/>
    <w:rsid w:val="00454724"/>
    <w:rsid w:val="004564D0"/>
    <w:rsid w:val="00461810"/>
    <w:rsid w:val="00464281"/>
    <w:rsid w:val="00470A18"/>
    <w:rsid w:val="00476E0E"/>
    <w:rsid w:val="00480A3D"/>
    <w:rsid w:val="0048657B"/>
    <w:rsid w:val="004B1052"/>
    <w:rsid w:val="004E35B1"/>
    <w:rsid w:val="004F5412"/>
    <w:rsid w:val="004F61D4"/>
    <w:rsid w:val="00504F27"/>
    <w:rsid w:val="00510410"/>
    <w:rsid w:val="00514EFF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7823"/>
    <w:rsid w:val="005C4BD8"/>
    <w:rsid w:val="005D313F"/>
    <w:rsid w:val="005F07B9"/>
    <w:rsid w:val="005F25EE"/>
    <w:rsid w:val="006223FD"/>
    <w:rsid w:val="006275C3"/>
    <w:rsid w:val="006276EC"/>
    <w:rsid w:val="006459EA"/>
    <w:rsid w:val="00665DEF"/>
    <w:rsid w:val="00671FFD"/>
    <w:rsid w:val="00672E2F"/>
    <w:rsid w:val="00684F99"/>
    <w:rsid w:val="00685745"/>
    <w:rsid w:val="00690762"/>
    <w:rsid w:val="006A2E74"/>
    <w:rsid w:val="006B180C"/>
    <w:rsid w:val="006B1BA5"/>
    <w:rsid w:val="006C07DF"/>
    <w:rsid w:val="006C65EA"/>
    <w:rsid w:val="006D05D8"/>
    <w:rsid w:val="006D09AD"/>
    <w:rsid w:val="006E6D94"/>
    <w:rsid w:val="006F5AA4"/>
    <w:rsid w:val="00700626"/>
    <w:rsid w:val="00703C32"/>
    <w:rsid w:val="00713470"/>
    <w:rsid w:val="00725D2E"/>
    <w:rsid w:val="00730894"/>
    <w:rsid w:val="00734403"/>
    <w:rsid w:val="0074060A"/>
    <w:rsid w:val="007436B7"/>
    <w:rsid w:val="00750243"/>
    <w:rsid w:val="00750A49"/>
    <w:rsid w:val="00753BF0"/>
    <w:rsid w:val="007563B2"/>
    <w:rsid w:val="00763F73"/>
    <w:rsid w:val="00782406"/>
    <w:rsid w:val="00794130"/>
    <w:rsid w:val="0079596C"/>
    <w:rsid w:val="007966AA"/>
    <w:rsid w:val="007A7C1E"/>
    <w:rsid w:val="007F08DA"/>
    <w:rsid w:val="00801570"/>
    <w:rsid w:val="0080407E"/>
    <w:rsid w:val="00804DC3"/>
    <w:rsid w:val="00832D28"/>
    <w:rsid w:val="008404BA"/>
    <w:rsid w:val="00844BB0"/>
    <w:rsid w:val="00851A5C"/>
    <w:rsid w:val="0086143D"/>
    <w:rsid w:val="0086302A"/>
    <w:rsid w:val="008659D1"/>
    <w:rsid w:val="008669FF"/>
    <w:rsid w:val="008818B5"/>
    <w:rsid w:val="00882D6F"/>
    <w:rsid w:val="00887E44"/>
    <w:rsid w:val="008A114B"/>
    <w:rsid w:val="008A33AC"/>
    <w:rsid w:val="008B4030"/>
    <w:rsid w:val="008C797A"/>
    <w:rsid w:val="008C7E78"/>
    <w:rsid w:val="008D70A9"/>
    <w:rsid w:val="008E4BF4"/>
    <w:rsid w:val="008F55BF"/>
    <w:rsid w:val="009034E7"/>
    <w:rsid w:val="00925A30"/>
    <w:rsid w:val="009303C2"/>
    <w:rsid w:val="0094143F"/>
    <w:rsid w:val="00984C08"/>
    <w:rsid w:val="009862AA"/>
    <w:rsid w:val="00995BA3"/>
    <w:rsid w:val="009A04B8"/>
    <w:rsid w:val="009A65F0"/>
    <w:rsid w:val="009D4CC4"/>
    <w:rsid w:val="009D785D"/>
    <w:rsid w:val="009E3521"/>
    <w:rsid w:val="009E7C3C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55CB2"/>
    <w:rsid w:val="00A64DCF"/>
    <w:rsid w:val="00A854A1"/>
    <w:rsid w:val="00A915C3"/>
    <w:rsid w:val="00A975A8"/>
    <w:rsid w:val="00AA26D1"/>
    <w:rsid w:val="00AA7A3B"/>
    <w:rsid w:val="00AA7F79"/>
    <w:rsid w:val="00AB50E7"/>
    <w:rsid w:val="00AD2D71"/>
    <w:rsid w:val="00AD4536"/>
    <w:rsid w:val="00AD7CF1"/>
    <w:rsid w:val="00AF7259"/>
    <w:rsid w:val="00B00CEC"/>
    <w:rsid w:val="00B07416"/>
    <w:rsid w:val="00B23BC6"/>
    <w:rsid w:val="00B25022"/>
    <w:rsid w:val="00B303CB"/>
    <w:rsid w:val="00B37A54"/>
    <w:rsid w:val="00B42D00"/>
    <w:rsid w:val="00B44D07"/>
    <w:rsid w:val="00B563F2"/>
    <w:rsid w:val="00B608F3"/>
    <w:rsid w:val="00B64D64"/>
    <w:rsid w:val="00B64F38"/>
    <w:rsid w:val="00B76796"/>
    <w:rsid w:val="00B83F7E"/>
    <w:rsid w:val="00BA2FFC"/>
    <w:rsid w:val="00BB4A97"/>
    <w:rsid w:val="00BB4BB5"/>
    <w:rsid w:val="00BB64AF"/>
    <w:rsid w:val="00BC255A"/>
    <w:rsid w:val="00BC493E"/>
    <w:rsid w:val="00BD0B63"/>
    <w:rsid w:val="00BD3E81"/>
    <w:rsid w:val="00BE1987"/>
    <w:rsid w:val="00BE5062"/>
    <w:rsid w:val="00BF490B"/>
    <w:rsid w:val="00C0058E"/>
    <w:rsid w:val="00C44F91"/>
    <w:rsid w:val="00C625FB"/>
    <w:rsid w:val="00C734C9"/>
    <w:rsid w:val="00C736A2"/>
    <w:rsid w:val="00C756CA"/>
    <w:rsid w:val="00C82D40"/>
    <w:rsid w:val="00C83AEF"/>
    <w:rsid w:val="00CA78D6"/>
    <w:rsid w:val="00CB1F99"/>
    <w:rsid w:val="00CB59E5"/>
    <w:rsid w:val="00CC780C"/>
    <w:rsid w:val="00CD23C9"/>
    <w:rsid w:val="00CD3FD1"/>
    <w:rsid w:val="00D145E0"/>
    <w:rsid w:val="00D20CE6"/>
    <w:rsid w:val="00D37D4F"/>
    <w:rsid w:val="00D40EB7"/>
    <w:rsid w:val="00D60858"/>
    <w:rsid w:val="00D66A4E"/>
    <w:rsid w:val="00D66C70"/>
    <w:rsid w:val="00D945A6"/>
    <w:rsid w:val="00DA1F23"/>
    <w:rsid w:val="00DB6514"/>
    <w:rsid w:val="00DD311F"/>
    <w:rsid w:val="00DD4384"/>
    <w:rsid w:val="00DE14D9"/>
    <w:rsid w:val="00DE15A7"/>
    <w:rsid w:val="00DE3961"/>
    <w:rsid w:val="00DF59E3"/>
    <w:rsid w:val="00E0232D"/>
    <w:rsid w:val="00E02DAA"/>
    <w:rsid w:val="00E11DAC"/>
    <w:rsid w:val="00E34CD7"/>
    <w:rsid w:val="00E6274E"/>
    <w:rsid w:val="00E740E1"/>
    <w:rsid w:val="00E761B3"/>
    <w:rsid w:val="00EC58EB"/>
    <w:rsid w:val="00EC5E21"/>
    <w:rsid w:val="00EC74BB"/>
    <w:rsid w:val="00ED4F1E"/>
    <w:rsid w:val="00ED6884"/>
    <w:rsid w:val="00EF1554"/>
    <w:rsid w:val="00EF25D5"/>
    <w:rsid w:val="00F327AC"/>
    <w:rsid w:val="00F40EDB"/>
    <w:rsid w:val="00F4453F"/>
    <w:rsid w:val="00F47DE6"/>
    <w:rsid w:val="00FA33CA"/>
    <w:rsid w:val="00FA3EA0"/>
    <w:rsid w:val="00FA7866"/>
    <w:rsid w:val="00FB2B57"/>
    <w:rsid w:val="00FC0BC4"/>
    <w:rsid w:val="00FC1A2E"/>
    <w:rsid w:val="00FE3A0D"/>
    <w:rsid w:val="00FE4B46"/>
    <w:rsid w:val="00FF7ED4"/>
    <w:rsid w:val="078422EF"/>
    <w:rsid w:val="08907D46"/>
    <w:rsid w:val="0D5A3E6D"/>
    <w:rsid w:val="0EC75B78"/>
    <w:rsid w:val="12536551"/>
    <w:rsid w:val="20305BEB"/>
    <w:rsid w:val="29AA5608"/>
    <w:rsid w:val="2A29229A"/>
    <w:rsid w:val="2D4C552D"/>
    <w:rsid w:val="2E3C0273"/>
    <w:rsid w:val="40CB6CB3"/>
    <w:rsid w:val="43240657"/>
    <w:rsid w:val="4DDD3ADA"/>
    <w:rsid w:val="508629FD"/>
    <w:rsid w:val="56895ECB"/>
    <w:rsid w:val="569E7B24"/>
    <w:rsid w:val="58B95D77"/>
    <w:rsid w:val="60B00FF9"/>
    <w:rsid w:val="62B047CB"/>
    <w:rsid w:val="644F113C"/>
    <w:rsid w:val="648F4DFD"/>
    <w:rsid w:val="667273F5"/>
    <w:rsid w:val="667A08D3"/>
    <w:rsid w:val="71FB2701"/>
    <w:rsid w:val="72A5211B"/>
    <w:rsid w:val="7D1E58E2"/>
    <w:rsid w:val="7DFF4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uiPriority w:val="0"/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10">
    <w:name w:val="Title"/>
    <w:basedOn w:val="1"/>
    <w:link w:val="13"/>
    <w:qFormat/>
    <w:uiPriority w:val="0"/>
    <w:pPr>
      <w:autoSpaceDE/>
      <w:autoSpaceDN/>
      <w:jc w:val="center"/>
    </w:pPr>
    <w:rPr>
      <w:szCs w:val="20"/>
    </w:rPr>
  </w:style>
  <w:style w:type="paragraph" w:styleId="11">
    <w:name w:val="footer"/>
    <w:basedOn w:val="1"/>
    <w:link w:val="24"/>
    <w:uiPriority w:val="0"/>
    <w:pPr>
      <w:tabs>
        <w:tab w:val="center" w:pos="4677"/>
        <w:tab w:val="right" w:pos="9355"/>
      </w:tabs>
    </w:pPr>
  </w:style>
  <w:style w:type="table" w:styleId="12">
    <w:name w:val="Table Grid"/>
    <w:basedOn w:val="4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Название Знак"/>
    <w:link w:val="10"/>
    <w:uiPriority w:val="0"/>
    <w:rPr>
      <w:sz w:val="24"/>
      <w:lang w:bidi="ar-SA"/>
    </w:rPr>
  </w:style>
  <w:style w:type="paragraph" w:customStyle="1" w:styleId="14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16">
    <w:name w:val="No Spacing"/>
    <w:uiPriority w:val="0"/>
    <w:rPr>
      <w:rFonts w:ascii="Calibri" w:hAnsi="Calibri"/>
      <w:sz w:val="22"/>
      <w:szCs w:val="22"/>
      <w:lang w:val="ru-RU" w:eastAsia="en-US" w:bidi="ar-SA"/>
    </w:rPr>
  </w:style>
  <w:style w:type="paragraph" w:styleId="17">
    <w:name w:val="No Spacing"/>
    <w:qFormat/>
    <w:uiPriority w:val="0"/>
    <w:rPr>
      <w:rFonts w:ascii="Calibri" w:hAnsi="Calibri"/>
      <w:sz w:val="22"/>
      <w:szCs w:val="22"/>
      <w:lang w:val="ru-RU" w:eastAsia="ru-RU" w:bidi="ar-SA"/>
    </w:rPr>
  </w:style>
  <w:style w:type="paragraph" w:customStyle="1" w:styleId="18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lang w:val="ru-RU" w:eastAsia="ru-RU" w:bidi="ar-SA"/>
    </w:rPr>
  </w:style>
  <w:style w:type="paragraph" w:customStyle="1" w:styleId="19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lang w:val="ru-RU" w:eastAsia="ru-RU" w:bidi="ar-SA"/>
    </w:rPr>
  </w:style>
  <w:style w:type="paragraph" w:customStyle="1" w:styleId="20">
    <w:name w:val="       ConsPlusNonformat"/>
    <w:unhideWhenUsed/>
    <w:uiPriority w:val="99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ru-RU" w:eastAsia="ru-RU" w:bidi="ar-SA"/>
    </w:rPr>
  </w:style>
  <w:style w:type="paragraph" w:customStyle="1" w:styleId="21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cs="Courier New"/>
      <w:lang w:val="ru-RU" w:eastAsia="ru-RU" w:bidi="ar-SA"/>
    </w:rPr>
  </w:style>
  <w:style w:type="character" w:customStyle="1" w:styleId="22">
    <w:name w:val="font41"/>
    <w:uiPriority w:val="0"/>
    <w:rPr>
      <w:rFonts w:hint="default" w:ascii="Times New Roman" w:hAnsi="Times New Roman" w:cs="Times New Roman"/>
      <w:b/>
      <w:bCs/>
      <w:color w:val="000000"/>
      <w:u w:val="none"/>
      <w:vertAlign w:val="superscript"/>
    </w:rPr>
  </w:style>
  <w:style w:type="character" w:customStyle="1" w:styleId="23">
    <w:name w:val="font81"/>
    <w:uiPriority w:val="0"/>
    <w:rPr>
      <w:rFonts w:hint="default" w:ascii="Times New Roman" w:hAnsi="Times New Roman" w:cs="Times New Roman"/>
      <w:color w:val="000000"/>
      <w:u w:val="none"/>
      <w:vertAlign w:val="superscript"/>
    </w:rPr>
  </w:style>
  <w:style w:type="character" w:customStyle="1" w:styleId="24">
    <w:name w:val="Нижний колонтитул Знак"/>
    <w:link w:val="1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Администрация</Company>
  <Pages>7</Pages>
  <Words>1869</Words>
  <Characters>10657</Characters>
  <Lines>88</Lines>
  <Paragraphs>25</Paragraphs>
  <TotalTime>0</TotalTime>
  <ScaleCrop>false</ScaleCrop>
  <LinksUpToDate>false</LinksUpToDate>
  <CharactersWithSpaces>12501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2021-05-28T11:28:00Z</dcterms:created>
  <dc:creator>Anastasiya</dc:creator>
  <cp:lastModifiedBy>User</cp:lastModifiedBy>
  <cp:lastPrinted>2021-05-28T11:28:00Z</cp:lastPrinted>
  <dcterms:modified xsi:type="dcterms:W3CDTF">2021-06-01T05:33:57Z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