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696" w:rsidRDefault="00D13696">
      <w:pPr>
        <w:pStyle w:val="ConsPlusTitlePage"/>
      </w:pPr>
      <w:r>
        <w:t xml:space="preserve">Документ предоставлен </w:t>
      </w:r>
      <w:hyperlink r:id="rId5">
        <w:r>
          <w:rPr>
            <w:color w:val="0000FF"/>
          </w:rPr>
          <w:t>КонсультантПлюс</w:t>
        </w:r>
      </w:hyperlink>
      <w:r>
        <w:br/>
      </w:r>
    </w:p>
    <w:p w:rsidR="00D13696" w:rsidRDefault="00D13696">
      <w:pPr>
        <w:pStyle w:val="ConsPlusNormal"/>
        <w:jc w:val="both"/>
        <w:outlineLvl w:val="0"/>
      </w:pPr>
    </w:p>
    <w:p w:rsidR="00D13696" w:rsidRDefault="00D13696">
      <w:pPr>
        <w:pStyle w:val="ConsPlusTitle"/>
        <w:jc w:val="center"/>
        <w:outlineLvl w:val="0"/>
      </w:pPr>
      <w:r>
        <w:t>МИНИСТЕРСТВО ФИНАНСОВ РОССИЙСКОЙ ФЕДЕРАЦИИ</w:t>
      </w:r>
    </w:p>
    <w:p w:rsidR="00D13696" w:rsidRDefault="00D13696">
      <w:pPr>
        <w:pStyle w:val="ConsPlusTitle"/>
        <w:jc w:val="center"/>
      </w:pPr>
      <w:r>
        <w:t>N 02-06-06/106914</w:t>
      </w:r>
    </w:p>
    <w:p w:rsidR="00D13696" w:rsidRDefault="00D13696">
      <w:pPr>
        <w:pStyle w:val="ConsPlusTitle"/>
        <w:jc w:val="center"/>
      </w:pPr>
    </w:p>
    <w:p w:rsidR="00D13696" w:rsidRDefault="00D13696">
      <w:pPr>
        <w:pStyle w:val="ConsPlusTitle"/>
        <w:jc w:val="center"/>
      </w:pPr>
      <w:r>
        <w:t>ФЕДЕРАЛЬНОЕ КАЗНАЧЕЙСТВО</w:t>
      </w:r>
    </w:p>
    <w:p w:rsidR="00D13696" w:rsidRDefault="00D13696">
      <w:pPr>
        <w:pStyle w:val="ConsPlusTitle"/>
        <w:jc w:val="center"/>
      </w:pPr>
      <w:r>
        <w:t>N 07-04-05/08-31656</w:t>
      </w:r>
    </w:p>
    <w:p w:rsidR="00D13696" w:rsidRDefault="00D13696">
      <w:pPr>
        <w:pStyle w:val="ConsPlusTitle"/>
        <w:jc w:val="center"/>
      </w:pPr>
    </w:p>
    <w:p w:rsidR="00D13696" w:rsidRDefault="00D13696">
      <w:pPr>
        <w:pStyle w:val="ConsPlusTitle"/>
        <w:jc w:val="center"/>
      </w:pPr>
      <w:r>
        <w:t>ПИСЬМО</w:t>
      </w:r>
    </w:p>
    <w:p w:rsidR="00D13696" w:rsidRDefault="00D13696">
      <w:pPr>
        <w:pStyle w:val="ConsPlusTitle"/>
        <w:jc w:val="center"/>
      </w:pPr>
      <w:r>
        <w:t>от 31 октября 2024 года</w:t>
      </w:r>
    </w:p>
    <w:p w:rsidR="00D13696" w:rsidRDefault="00D13696">
      <w:pPr>
        <w:pStyle w:val="ConsPlusNormal"/>
        <w:ind w:firstLine="540"/>
        <w:jc w:val="both"/>
      </w:pPr>
    </w:p>
    <w:p w:rsidR="00D13696" w:rsidRDefault="00D13696">
      <w:pPr>
        <w:pStyle w:val="ConsPlusNormal"/>
        <w:ind w:firstLine="540"/>
        <w:jc w:val="both"/>
      </w:pPr>
      <w:r>
        <w:t xml:space="preserve">Во исполнение </w:t>
      </w:r>
      <w:hyperlink r:id="rId6">
        <w:r>
          <w:rPr>
            <w:color w:val="0000FF"/>
          </w:rPr>
          <w:t>постановления</w:t>
        </w:r>
      </w:hyperlink>
      <w:r>
        <w:t xml:space="preserve"> Правительства Российской Федерации от 15 февраля 2020 г. N 153 взаимодействие уполномоченных организаций и субъектов централизованного учета осуществляется в соответствии с </w:t>
      </w:r>
      <w:hyperlink r:id="rId7">
        <w:r>
          <w:rPr>
            <w:color w:val="0000FF"/>
          </w:rPr>
          <w:t>Графиком</w:t>
        </w:r>
      </w:hyperlink>
      <w:r>
        <w:t xml:space="preserve"> документооборота, утвержденным приказом Федерального казначейства от 4 июня 2024 г. N 4н (далее - График документооборота), с учетом разграничения ответственности между уполномоченными организациями и субъектами централизованного учета, при котором должностные лица уполномоченных организаций, на которых возложено выполнение централизуемых полномочий, не несут ответственности за искажение показателей бюджетной или бухгалтерской (финансовой) отчетности в случае, если такое искажение допущено в результате несоответствия составленных субъектами централизованного учета первичных учетных документов свершившимся фактам хозяйственной жизни и (или) непередачи либо несвоевременной передачи первичных учетных документов для регистрации содержащихся в них данных в регистрах бухгалтерского учета.</w:t>
      </w:r>
    </w:p>
    <w:p w:rsidR="00D13696" w:rsidRDefault="00D13696">
      <w:pPr>
        <w:pStyle w:val="ConsPlusNormal"/>
        <w:spacing w:before="220"/>
        <w:ind w:firstLine="540"/>
        <w:jc w:val="both"/>
      </w:pPr>
      <w:r>
        <w:t>Анализ причин и условий существенных нарушений, выявленных Счетной палатой Российской Федерации по итогам 2023 года показал, что основной причиной нарушений (88%) продолжает оставаться систематическое непредоставление или несвоевременное предоставление первичных учетных документов субъектами учета в целях отражения в бюджетном учете фактов хозяйственной жизни.</w:t>
      </w:r>
    </w:p>
    <w:p w:rsidR="00D13696" w:rsidRDefault="00D13696">
      <w:pPr>
        <w:pStyle w:val="ConsPlusNormal"/>
        <w:spacing w:before="220"/>
        <w:ind w:firstLine="540"/>
        <w:jc w:val="both"/>
      </w:pPr>
      <w:r>
        <w:t xml:space="preserve">Положениями </w:t>
      </w:r>
      <w:hyperlink r:id="rId8">
        <w:r>
          <w:rPr>
            <w:color w:val="0000FF"/>
          </w:rPr>
          <w:t>приказа</w:t>
        </w:r>
      </w:hyperlink>
      <w:r>
        <w:t xml:space="preserve"> Министерства финансов Российской Федерации от 13 сентября 2023 г. N 144н "О внесении изменений в федеральный стандарт бухгалтерского учета для организаций государственного сектора "Учетная политика, оценочные значения и ошибки", утвержденный приказом Министерства финансов Российской Федерации от 30 декабря 2017 г. N 274н" предусмотрено, что в случае если ведение бухгалтерского учета и (или) составление бухгалтерской (финансовой) отчетности передано в соответствии с законодательством Российской Федерации иному учреждению (централизованной бухгалтерии), субъектом учета (субъектом централизованного учета) утверждаются правила документооборота, предусматривающие обязанность ответственных за оформление совершаемых фактов хозяйственной жизни лиц составлять первичные (сводные) учетные документы, порядок, технологию и сроки составления, передачи (представления) для отражения в бухгалтерском учете первичных (сводных) учетных документов в соответствии с утвержденным в рамках единой учетной политики при централизации учета </w:t>
      </w:r>
      <w:hyperlink r:id="rId9">
        <w:r>
          <w:rPr>
            <w:color w:val="0000FF"/>
          </w:rPr>
          <w:t>Графиком</w:t>
        </w:r>
      </w:hyperlink>
      <w:r>
        <w:t xml:space="preserve"> документооборота (далее - Правила документооборота субъекта централизованного учета).</w:t>
      </w:r>
    </w:p>
    <w:p w:rsidR="00D13696" w:rsidRDefault="00D13696">
      <w:pPr>
        <w:pStyle w:val="ConsPlusNormal"/>
        <w:spacing w:before="220"/>
        <w:ind w:firstLine="540"/>
        <w:jc w:val="both"/>
      </w:pPr>
      <w:r>
        <w:t>В целях обеспечения разграничения ответственности между субъектом централизованного учета и уполномоченной организацией Правила документооборота субъекта централизованного учета доводятся для ознакомления и надлежащего исполнения до лиц, ответственных за оформление совершаемых фактов хозяйственной жизни, составление и (или) представление документов бухгалтерского учета.</w:t>
      </w:r>
    </w:p>
    <w:p w:rsidR="00D13696" w:rsidRDefault="00D13696">
      <w:pPr>
        <w:pStyle w:val="ConsPlusNormal"/>
        <w:spacing w:before="220"/>
        <w:ind w:firstLine="540"/>
        <w:jc w:val="both"/>
      </w:pPr>
      <w:r>
        <w:t xml:space="preserve">В целях обеспечения своевременного отражения в бюджетном учете первичных учетных документов в соответствии с </w:t>
      </w:r>
      <w:hyperlink r:id="rId10">
        <w:r>
          <w:rPr>
            <w:color w:val="0000FF"/>
          </w:rPr>
          <w:t>Графиком</w:t>
        </w:r>
      </w:hyperlink>
      <w:r>
        <w:t xml:space="preserve"> документооборота уполномоченными организациями утверждаются правила документооборота с определением лиц, ответственных за принятие к </w:t>
      </w:r>
      <w:r>
        <w:lastRenderedPageBreak/>
        <w:t xml:space="preserve">учету первичных учетных документов (направление уведомления о представлении первичных учетных документов при выявлении ошибок, фактов нарушений </w:t>
      </w:r>
      <w:hyperlink r:id="rId11">
        <w:r>
          <w:rPr>
            <w:color w:val="0000FF"/>
          </w:rPr>
          <w:t>Графика</w:t>
        </w:r>
      </w:hyperlink>
      <w:r>
        <w:t xml:space="preserve"> документооборота) и (или) отражение в учете документально подтвержденных фактов хозяйственной жизни.</w:t>
      </w:r>
    </w:p>
    <w:p w:rsidR="00D13696" w:rsidRDefault="00D13696">
      <w:pPr>
        <w:pStyle w:val="ConsPlusNormal"/>
        <w:spacing w:before="220"/>
        <w:ind w:firstLine="540"/>
        <w:jc w:val="both"/>
      </w:pPr>
      <w:r>
        <w:t xml:space="preserve">Уполномоченные организации обеспечивают взаимодействие с субъектами централизованного учета в части исполнения </w:t>
      </w:r>
      <w:hyperlink r:id="rId12">
        <w:r>
          <w:rPr>
            <w:color w:val="0000FF"/>
          </w:rPr>
          <w:t>Графика</w:t>
        </w:r>
      </w:hyperlink>
      <w:r>
        <w:t xml:space="preserve"> документооборота с учетом Правил документооборота субъекта централизованного учета, направленных субъектами централизованного учета в срок до 1 декабря 2024 г.</w:t>
      </w:r>
    </w:p>
    <w:p w:rsidR="00D13696" w:rsidRDefault="00D13696">
      <w:pPr>
        <w:pStyle w:val="ConsPlusNormal"/>
        <w:spacing w:before="220"/>
        <w:ind w:firstLine="540"/>
        <w:jc w:val="both"/>
      </w:pPr>
      <w:r>
        <w:t xml:space="preserve">Обращаем внимание, что непредоставление первичных (учетных) документов создает риски нарушений бюджетного законодательства, в случае выявления уполномоченной организацией отсутствие первичных документов в соответствии с </w:t>
      </w:r>
      <w:hyperlink r:id="rId13">
        <w:r>
          <w:rPr>
            <w:color w:val="0000FF"/>
          </w:rPr>
          <w:t>пунктом 457</w:t>
        </w:r>
      </w:hyperlink>
      <w:r>
        <w:t xml:space="preserve"> Графиком документооборота направляется требование бухгалтера. При этом, требования бухгалтера являются обязательными к исполнению в соответствии с Федеральным </w:t>
      </w:r>
      <w:hyperlink r:id="rId14">
        <w:r>
          <w:rPr>
            <w:color w:val="0000FF"/>
          </w:rPr>
          <w:t>законом</w:t>
        </w:r>
      </w:hyperlink>
      <w:r>
        <w:t xml:space="preserve"> от 6 декабря 2011 г. N 402-ФЗ "О бухгалтерском учете".</w:t>
      </w:r>
    </w:p>
    <w:p w:rsidR="00D13696" w:rsidRDefault="00D13696">
      <w:pPr>
        <w:pStyle w:val="ConsPlusNormal"/>
        <w:spacing w:before="220"/>
        <w:ind w:firstLine="540"/>
        <w:jc w:val="both"/>
      </w:pPr>
      <w:r>
        <w:t xml:space="preserve">Согласно </w:t>
      </w:r>
      <w:hyperlink r:id="rId15">
        <w:r>
          <w:rPr>
            <w:color w:val="0000FF"/>
          </w:rPr>
          <w:t>Порядку</w:t>
        </w:r>
      </w:hyperlink>
      <w:r>
        <w:t xml:space="preserve"> завершения операций по исполнению федерального бюджета в текущем финансовом году, утвержденному приказом Министерства финансов Российской Федерации от 6 июня 2008 г. N 56н с учетом положений </w:t>
      </w:r>
      <w:hyperlink r:id="rId16">
        <w:r>
          <w:rPr>
            <w:color w:val="0000FF"/>
          </w:rPr>
          <w:t>Графика</w:t>
        </w:r>
      </w:hyperlink>
      <w:r>
        <w:t xml:space="preserve"> документооборота предельный срок формирования субъектов централизованного учета распоряжений о совершении казначейских платежей &lt;1&gt; в целях завершения исполнения бюджета за 2024 год - 27 декабря 2024 г.</w:t>
      </w:r>
    </w:p>
    <w:p w:rsidR="00D13696" w:rsidRDefault="00D13696">
      <w:pPr>
        <w:pStyle w:val="ConsPlusNormal"/>
        <w:spacing w:before="220"/>
        <w:ind w:firstLine="540"/>
        <w:jc w:val="both"/>
      </w:pPr>
      <w:r>
        <w:t>--------------------------------</w:t>
      </w:r>
    </w:p>
    <w:p w:rsidR="00D13696" w:rsidRDefault="00D13696">
      <w:pPr>
        <w:pStyle w:val="ConsPlusNormal"/>
        <w:spacing w:before="220"/>
        <w:ind w:firstLine="540"/>
        <w:jc w:val="both"/>
      </w:pPr>
      <w:r>
        <w:t xml:space="preserve">&lt;1&gt; </w:t>
      </w:r>
      <w:hyperlink r:id="rId17">
        <w:r>
          <w:rPr>
            <w:color w:val="0000FF"/>
          </w:rPr>
          <w:t>Приказ</w:t>
        </w:r>
      </w:hyperlink>
      <w:r>
        <w:t xml:space="preserve"> Казначейства России от 14.05.2020 N 21н "О Порядке казначейского обслуживания".</w:t>
      </w:r>
    </w:p>
    <w:p w:rsidR="00D13696" w:rsidRDefault="00D13696">
      <w:pPr>
        <w:pStyle w:val="ConsPlusNormal"/>
        <w:ind w:firstLine="540"/>
        <w:jc w:val="both"/>
      </w:pPr>
    </w:p>
    <w:p w:rsidR="00D13696" w:rsidRDefault="00D13696">
      <w:pPr>
        <w:pStyle w:val="ConsPlusNormal"/>
        <w:ind w:firstLine="540"/>
        <w:jc w:val="both"/>
      </w:pPr>
      <w:r>
        <w:t xml:space="preserve">Представление в уполномоченные организации субъектами централизованного учета первичных учетных документов в целях завершения финансового года и (или) формирования годовой бюджетной отчетности за 2024 год осуществляется в сроки, установленные </w:t>
      </w:r>
      <w:hyperlink r:id="rId18">
        <w:r>
          <w:rPr>
            <w:color w:val="0000FF"/>
          </w:rPr>
          <w:t>Графиком</w:t>
        </w:r>
      </w:hyperlink>
      <w:r>
        <w:t xml:space="preserve"> документооборота, с учетом прилагаемых </w:t>
      </w:r>
      <w:hyperlink w:anchor="P42">
        <w:r>
          <w:rPr>
            <w:color w:val="0000FF"/>
          </w:rPr>
          <w:t>особенностей</w:t>
        </w:r>
      </w:hyperlink>
      <w:r>
        <w:t>.</w:t>
      </w:r>
    </w:p>
    <w:p w:rsidR="00D13696" w:rsidRDefault="00D13696">
      <w:pPr>
        <w:pStyle w:val="ConsPlusNormal"/>
        <w:ind w:firstLine="540"/>
        <w:jc w:val="both"/>
      </w:pPr>
    </w:p>
    <w:p w:rsidR="00D13696" w:rsidRDefault="00D13696">
      <w:pPr>
        <w:pStyle w:val="ConsPlusNormal"/>
        <w:jc w:val="right"/>
      </w:pPr>
      <w:r>
        <w:t>Заместитель Министра финансов</w:t>
      </w:r>
    </w:p>
    <w:p w:rsidR="00D13696" w:rsidRDefault="00D13696">
      <w:pPr>
        <w:pStyle w:val="ConsPlusNormal"/>
        <w:jc w:val="right"/>
      </w:pPr>
      <w:r>
        <w:t>Российской Федерации</w:t>
      </w:r>
    </w:p>
    <w:p w:rsidR="00D13696" w:rsidRDefault="00D13696">
      <w:pPr>
        <w:pStyle w:val="ConsPlusNormal"/>
        <w:jc w:val="right"/>
      </w:pPr>
      <w:r>
        <w:t>А.М.ЛАВРОВ</w:t>
      </w:r>
    </w:p>
    <w:p w:rsidR="00D13696" w:rsidRDefault="00D13696">
      <w:pPr>
        <w:pStyle w:val="ConsPlusNormal"/>
        <w:ind w:firstLine="540"/>
        <w:jc w:val="both"/>
      </w:pPr>
    </w:p>
    <w:p w:rsidR="00D13696" w:rsidRDefault="00D13696">
      <w:pPr>
        <w:pStyle w:val="ConsPlusNormal"/>
        <w:jc w:val="right"/>
      </w:pPr>
      <w:r>
        <w:t>Руководитель</w:t>
      </w:r>
    </w:p>
    <w:p w:rsidR="00D13696" w:rsidRDefault="00D13696">
      <w:pPr>
        <w:pStyle w:val="ConsPlusNormal"/>
        <w:jc w:val="right"/>
      </w:pPr>
      <w:r>
        <w:t>Федерального казначейства</w:t>
      </w:r>
    </w:p>
    <w:p w:rsidR="00D13696" w:rsidRDefault="00D13696">
      <w:pPr>
        <w:pStyle w:val="ConsPlusNormal"/>
        <w:jc w:val="right"/>
      </w:pPr>
      <w:r>
        <w:t>Р.Е.АРТЮХИН</w:t>
      </w:r>
    </w:p>
    <w:p w:rsidR="00D13696" w:rsidRDefault="00D13696">
      <w:pPr>
        <w:pStyle w:val="ConsPlusNormal"/>
        <w:ind w:firstLine="540"/>
        <w:jc w:val="both"/>
      </w:pPr>
    </w:p>
    <w:p w:rsidR="00D13696" w:rsidRDefault="00D13696">
      <w:pPr>
        <w:pStyle w:val="ConsPlusNormal"/>
        <w:ind w:firstLine="540"/>
        <w:jc w:val="both"/>
      </w:pPr>
    </w:p>
    <w:p w:rsidR="00D13696" w:rsidRDefault="00D13696">
      <w:pPr>
        <w:pStyle w:val="ConsPlusNormal"/>
        <w:ind w:firstLine="540"/>
        <w:jc w:val="both"/>
      </w:pPr>
    </w:p>
    <w:p w:rsidR="00D13696" w:rsidRDefault="00D13696">
      <w:pPr>
        <w:pStyle w:val="ConsPlusNormal"/>
        <w:ind w:firstLine="540"/>
        <w:jc w:val="both"/>
      </w:pPr>
    </w:p>
    <w:p w:rsidR="00D13696" w:rsidRDefault="00D13696">
      <w:pPr>
        <w:pStyle w:val="ConsPlusNormal"/>
        <w:ind w:firstLine="540"/>
        <w:jc w:val="both"/>
      </w:pPr>
    </w:p>
    <w:p w:rsidR="00D13696" w:rsidRDefault="00D13696">
      <w:pPr>
        <w:pStyle w:val="ConsPlusNormal"/>
        <w:jc w:val="right"/>
        <w:outlineLvl w:val="0"/>
      </w:pPr>
      <w:r>
        <w:t>Приложение N 1</w:t>
      </w:r>
    </w:p>
    <w:p w:rsidR="00D13696" w:rsidRDefault="00D13696">
      <w:pPr>
        <w:pStyle w:val="ConsPlusNormal"/>
        <w:jc w:val="right"/>
      </w:pPr>
      <w:r>
        <w:t>к письму Министерства финансов</w:t>
      </w:r>
    </w:p>
    <w:p w:rsidR="00D13696" w:rsidRDefault="00D13696">
      <w:pPr>
        <w:pStyle w:val="ConsPlusNormal"/>
        <w:jc w:val="right"/>
      </w:pPr>
      <w:r>
        <w:t>Российской Федерации</w:t>
      </w:r>
    </w:p>
    <w:p w:rsidR="00D13696" w:rsidRDefault="00D13696">
      <w:pPr>
        <w:pStyle w:val="ConsPlusNormal"/>
        <w:jc w:val="right"/>
      </w:pPr>
      <w:r>
        <w:t>и Федерального казначейства</w:t>
      </w:r>
    </w:p>
    <w:p w:rsidR="00D13696" w:rsidRDefault="00D13696">
      <w:pPr>
        <w:pStyle w:val="ConsPlusNormal"/>
        <w:jc w:val="right"/>
      </w:pPr>
      <w:r>
        <w:t>от 31.10.2024 N 02-06-06/106914</w:t>
      </w:r>
    </w:p>
    <w:p w:rsidR="00D13696" w:rsidRDefault="00D13696">
      <w:pPr>
        <w:pStyle w:val="ConsPlusNormal"/>
        <w:jc w:val="right"/>
      </w:pPr>
      <w:r>
        <w:t>N 07-04-05/08-31656</w:t>
      </w:r>
    </w:p>
    <w:p w:rsidR="00D13696" w:rsidRDefault="00D13696">
      <w:pPr>
        <w:pStyle w:val="ConsPlusNormal"/>
        <w:ind w:firstLine="540"/>
        <w:jc w:val="both"/>
      </w:pPr>
    </w:p>
    <w:p w:rsidR="00D13696" w:rsidRDefault="00D13696">
      <w:pPr>
        <w:pStyle w:val="ConsPlusTitle"/>
        <w:jc w:val="center"/>
      </w:pPr>
      <w:bookmarkStart w:id="0" w:name="P42"/>
      <w:bookmarkEnd w:id="0"/>
      <w:r>
        <w:t>ОСОБЕННОСТИ</w:t>
      </w:r>
    </w:p>
    <w:p w:rsidR="00D13696" w:rsidRDefault="00D13696">
      <w:pPr>
        <w:pStyle w:val="ConsPlusTitle"/>
        <w:jc w:val="center"/>
      </w:pPr>
      <w:r>
        <w:t>ПРЕДСТАВЛЕНИЯ В УПОЛНОМОЧЕННЫЕ ОРГАНИЗАЦИИ СУБЪЕКТАМИ</w:t>
      </w:r>
    </w:p>
    <w:p w:rsidR="00D13696" w:rsidRDefault="00D13696">
      <w:pPr>
        <w:pStyle w:val="ConsPlusTitle"/>
        <w:jc w:val="center"/>
      </w:pPr>
      <w:r>
        <w:t>ЦЕНТРАЛИЗОВАННОГО УЧЕТА ПЕРВИЧНЫХ УЧЕТНЫХ ДОКУМЕНТОВ В ЦЕЛЯХ</w:t>
      </w:r>
    </w:p>
    <w:p w:rsidR="00D13696" w:rsidRDefault="00D13696">
      <w:pPr>
        <w:pStyle w:val="ConsPlusTitle"/>
        <w:jc w:val="center"/>
      </w:pPr>
      <w:r>
        <w:t>ЗАВЕРШЕНИЯ ФИНАНСОВОГО ГОДА И (ИЛИ) ФОРМИРОВАНИЯ ГОДОВОЙ</w:t>
      </w:r>
    </w:p>
    <w:p w:rsidR="00D13696" w:rsidRDefault="00D13696">
      <w:pPr>
        <w:pStyle w:val="ConsPlusTitle"/>
        <w:jc w:val="center"/>
      </w:pPr>
      <w:r>
        <w:lastRenderedPageBreak/>
        <w:t>БЮДЖЕТНОЙ ОТЧЕТНОСТИ ЗА 2024 ГОД</w:t>
      </w:r>
    </w:p>
    <w:p w:rsidR="00D13696" w:rsidRDefault="00D13696">
      <w:pPr>
        <w:pStyle w:val="ConsPlusNormal"/>
        <w:ind w:firstLine="540"/>
        <w:jc w:val="both"/>
      </w:pPr>
    </w:p>
    <w:p w:rsidR="00D13696" w:rsidRDefault="00D13696">
      <w:pPr>
        <w:pStyle w:val="ConsPlusNormal"/>
        <w:ind w:firstLine="540"/>
        <w:jc w:val="both"/>
      </w:pPr>
      <w:r>
        <w:t xml:space="preserve">Представление в уполномоченные организации субъектами централизованного учета первичных учетных документов в целях завершения финансового года и (или) формирования годовой бюджетной отчетности за 2024 год осуществляется исходя из сроков их представления, установленных </w:t>
      </w:r>
      <w:hyperlink r:id="rId19">
        <w:r>
          <w:rPr>
            <w:color w:val="0000FF"/>
          </w:rPr>
          <w:t>Графиком</w:t>
        </w:r>
      </w:hyperlink>
      <w:r>
        <w:t xml:space="preserve"> документооборота с учетом положений </w:t>
      </w:r>
      <w:hyperlink r:id="rId20">
        <w:r>
          <w:rPr>
            <w:color w:val="0000FF"/>
          </w:rPr>
          <w:t>Порядка</w:t>
        </w:r>
      </w:hyperlink>
      <w:r>
        <w:t xml:space="preserve"> завершения операций по исполнению федерального бюджета в текущем финансовом году, утвержденного приказом Министерства финансов Российской Федерации от 6 июня 2008 г. N 56н:</w:t>
      </w:r>
    </w:p>
    <w:p w:rsidR="00D13696" w:rsidRDefault="00D13696">
      <w:pPr>
        <w:pStyle w:val="ConsPlusNormal"/>
        <w:spacing w:before="220"/>
        <w:ind w:firstLine="540"/>
        <w:jc w:val="both"/>
      </w:pPr>
      <w:r>
        <w:t xml:space="preserve">не позднее 23 декабря 2024 г. (указанный срок определен с учетом положений </w:t>
      </w:r>
      <w:hyperlink r:id="rId21">
        <w:r>
          <w:rPr>
            <w:color w:val="0000FF"/>
          </w:rPr>
          <w:t>Графика</w:t>
        </w:r>
      </w:hyperlink>
      <w:r>
        <w:t xml:space="preserve"> документооборота, устанавливающих сроки направления):</w:t>
      </w:r>
    </w:p>
    <w:p w:rsidR="00D13696" w:rsidRDefault="00D13696">
      <w:pPr>
        <w:pStyle w:val="ConsPlusNormal"/>
        <w:spacing w:before="220"/>
        <w:ind w:firstLine="540"/>
        <w:jc w:val="both"/>
      </w:pPr>
      <w:r>
        <w:t>табеля учета рабочего времени не позднее 5 (пяти) рабочих дней до установленного срока выплаты заработной платы за вторую половину месяца (</w:t>
      </w:r>
      <w:hyperlink r:id="rId22">
        <w:r>
          <w:rPr>
            <w:color w:val="0000FF"/>
          </w:rPr>
          <w:t>пункт 133</w:t>
        </w:r>
      </w:hyperlink>
      <w:r>
        <w:t xml:space="preserve"> Графика документооборота);</w:t>
      </w:r>
    </w:p>
    <w:p w:rsidR="00D13696" w:rsidRDefault="00D13696">
      <w:pPr>
        <w:pStyle w:val="ConsPlusNormal"/>
        <w:spacing w:before="220"/>
        <w:ind w:firstLine="540"/>
        <w:jc w:val="both"/>
      </w:pPr>
      <w:r>
        <w:t>документов, являющихся основанием для начисления и выплаты заработной платы и иных выплат сотрудникам, за исключением приказов субъекта централизованного учета о премировании по итогам 2024 года не позднее дня формирования табеля учета рабочего времени (</w:t>
      </w:r>
      <w:hyperlink r:id="rId23">
        <w:r>
          <w:rPr>
            <w:color w:val="0000FF"/>
          </w:rPr>
          <w:t>раздел 5</w:t>
        </w:r>
      </w:hyperlink>
      <w:r>
        <w:t xml:space="preserve"> Графика документооборота);</w:t>
      </w:r>
    </w:p>
    <w:p w:rsidR="00D13696" w:rsidRDefault="00D13696">
      <w:pPr>
        <w:pStyle w:val="ConsPlusNormal"/>
        <w:spacing w:before="220"/>
        <w:ind w:firstLine="540"/>
        <w:jc w:val="both"/>
      </w:pPr>
      <w:r>
        <w:t>приказов о выплатах победителям конкурсов, в том числе налоговым агентом, по которым является субъект централизованного учета, являющихся первичными документами для формирования Распоряжений о совершении казначейских платежей не позднее 3 (трех) рабочих дней со дня получения приказов (</w:t>
      </w:r>
      <w:hyperlink r:id="rId24">
        <w:r>
          <w:rPr>
            <w:color w:val="0000FF"/>
          </w:rPr>
          <w:t>пункт 92.1</w:t>
        </w:r>
      </w:hyperlink>
      <w:r>
        <w:t xml:space="preserve"> Графика документооборота);</w:t>
      </w:r>
    </w:p>
    <w:p w:rsidR="00D13696" w:rsidRDefault="00D13696">
      <w:pPr>
        <w:pStyle w:val="ConsPlusNormal"/>
        <w:spacing w:before="220"/>
        <w:ind w:firstLine="540"/>
        <w:jc w:val="both"/>
      </w:pPr>
      <w:r>
        <w:t>приказов (распоряжения) об отпусках федеральных государственных гражданских служащих, предоставленных в период до 24 января 2025 г., и работников, замещающих должности, не являющиеся должностями федеральной государственной гражданской службы, предоставленных в период по 15 января 2025 г., не позднее 12 (двенадцати) рабочих дней и 4 (четырех) рабочих дней до даты начала отпуска соответственно (</w:t>
      </w:r>
      <w:hyperlink r:id="rId25">
        <w:r>
          <w:rPr>
            <w:color w:val="0000FF"/>
          </w:rPr>
          <w:t>пункт 116</w:t>
        </w:r>
      </w:hyperlink>
      <w:r>
        <w:t xml:space="preserve"> Графика документооборота);</w:t>
      </w:r>
    </w:p>
    <w:p w:rsidR="00D13696" w:rsidRDefault="00D13696">
      <w:pPr>
        <w:pStyle w:val="ConsPlusNormal"/>
        <w:spacing w:before="220"/>
        <w:ind w:firstLine="540"/>
        <w:jc w:val="both"/>
      </w:pPr>
      <w:r>
        <w:t xml:space="preserve">не позднее 25 декабря 2024 г. (указанный срок определен с учетом положений </w:t>
      </w:r>
      <w:hyperlink r:id="rId26">
        <w:r>
          <w:rPr>
            <w:color w:val="0000FF"/>
          </w:rPr>
          <w:t>Графика</w:t>
        </w:r>
      </w:hyperlink>
      <w:r>
        <w:t xml:space="preserve"> документооборота, устанавливающих сроки направления):</w:t>
      </w:r>
    </w:p>
    <w:p w:rsidR="00D13696" w:rsidRDefault="00D13696">
      <w:pPr>
        <w:pStyle w:val="ConsPlusNormal"/>
        <w:spacing w:before="220"/>
        <w:ind w:firstLine="540"/>
        <w:jc w:val="both"/>
      </w:pPr>
      <w:r>
        <w:t>документов, подтверждающих использование выданных под отчет сумм подотчетными лицами и требующих завершения расчетов в 2024 году, являющихся первичными документами для формирования Распоряжений о совершении казначейских платежей не позднее 3 (трех) рабочих дней со дня утверждения Отчетов о расходах подотчетного лица (</w:t>
      </w:r>
      <w:hyperlink r:id="rId27">
        <w:r>
          <w:rPr>
            <w:color w:val="0000FF"/>
          </w:rPr>
          <w:t>пункт 92.1</w:t>
        </w:r>
      </w:hyperlink>
      <w:r>
        <w:t xml:space="preserve"> Графика документооборота);</w:t>
      </w:r>
    </w:p>
    <w:p w:rsidR="00D13696" w:rsidRDefault="00D13696">
      <w:pPr>
        <w:pStyle w:val="ConsPlusNormal"/>
        <w:spacing w:before="220"/>
        <w:ind w:firstLine="540"/>
        <w:jc w:val="both"/>
      </w:pPr>
      <w:r>
        <w:t>документов, являющихся основанием для осуществления операций по загранаппаратам;</w:t>
      </w:r>
    </w:p>
    <w:p w:rsidR="00D13696" w:rsidRDefault="00D13696">
      <w:pPr>
        <w:pStyle w:val="ConsPlusNormal"/>
        <w:spacing w:before="220"/>
        <w:ind w:firstLine="540"/>
        <w:jc w:val="both"/>
      </w:pPr>
      <w:r>
        <w:t>приказов субъекта централизованного учета о премировании по итогам 2024 года не позднее 3 (трех) рабочих дней до даты выплаты заработной платы (</w:t>
      </w:r>
      <w:hyperlink r:id="rId28">
        <w:r>
          <w:rPr>
            <w:color w:val="0000FF"/>
          </w:rPr>
          <w:t>пункт 111</w:t>
        </w:r>
      </w:hyperlink>
      <w:r>
        <w:t xml:space="preserve"> Графика документооборота);</w:t>
      </w:r>
    </w:p>
    <w:p w:rsidR="00D13696" w:rsidRDefault="00D13696">
      <w:pPr>
        <w:pStyle w:val="ConsPlusNormal"/>
        <w:spacing w:before="220"/>
        <w:ind w:firstLine="540"/>
        <w:jc w:val="both"/>
      </w:pPr>
      <w:r>
        <w:t xml:space="preserve">не позднее 27 декабря 2024 г. (указанный срок определен с учетом положений </w:t>
      </w:r>
      <w:hyperlink r:id="rId29">
        <w:r>
          <w:rPr>
            <w:color w:val="0000FF"/>
          </w:rPr>
          <w:t>Графика</w:t>
        </w:r>
      </w:hyperlink>
      <w:r>
        <w:t xml:space="preserve"> документооборота, устанавливающих сроки направления):</w:t>
      </w:r>
    </w:p>
    <w:p w:rsidR="00D13696" w:rsidRDefault="00D13696">
      <w:pPr>
        <w:pStyle w:val="ConsPlusNormal"/>
        <w:spacing w:before="220"/>
        <w:ind w:firstLine="540"/>
        <w:jc w:val="both"/>
      </w:pPr>
      <w:r>
        <w:t>документов, являющихся основанием для формирования Распоряжений о совершении казначейских платежей на перечисление межбюджетных трансфертов, субсидий бюджетным и автономным учреждениям, субсидий юридическим лицам не позднее следующего рабочего дня со дня получения документа (</w:t>
      </w:r>
      <w:hyperlink r:id="rId30">
        <w:r>
          <w:rPr>
            <w:color w:val="0000FF"/>
          </w:rPr>
          <w:t>пункты 202</w:t>
        </w:r>
      </w:hyperlink>
      <w:r>
        <w:t xml:space="preserve"> - </w:t>
      </w:r>
      <w:hyperlink r:id="rId31">
        <w:r>
          <w:rPr>
            <w:color w:val="0000FF"/>
          </w:rPr>
          <w:t>205</w:t>
        </w:r>
      </w:hyperlink>
      <w:r>
        <w:t xml:space="preserve"> Графика документооборота);</w:t>
      </w:r>
    </w:p>
    <w:p w:rsidR="00D13696" w:rsidRDefault="00D13696">
      <w:pPr>
        <w:pStyle w:val="ConsPlusNormal"/>
        <w:spacing w:before="220"/>
        <w:ind w:firstLine="540"/>
        <w:jc w:val="both"/>
      </w:pPr>
      <w:r>
        <w:t xml:space="preserve">документов на перечисление единовременной субсидии на приобретение жилого </w:t>
      </w:r>
      <w:r>
        <w:lastRenderedPageBreak/>
        <w:t>помещения, являющихся первичными документами для формирования Распоряжений о совершении казначейских платежей не позднее следующего рабочего дня со дня получения документа (</w:t>
      </w:r>
      <w:hyperlink r:id="rId32">
        <w:r>
          <w:rPr>
            <w:color w:val="0000FF"/>
          </w:rPr>
          <w:t>пункт 90</w:t>
        </w:r>
      </w:hyperlink>
      <w:r>
        <w:t xml:space="preserve"> - </w:t>
      </w:r>
      <w:hyperlink r:id="rId33">
        <w:r>
          <w:rPr>
            <w:color w:val="0000FF"/>
          </w:rPr>
          <w:t>91</w:t>
        </w:r>
      </w:hyperlink>
      <w:r>
        <w:t xml:space="preserve"> Графика документооборота).</w:t>
      </w:r>
    </w:p>
    <w:p w:rsidR="00D13696" w:rsidRDefault="00D13696">
      <w:pPr>
        <w:pStyle w:val="ConsPlusNormal"/>
        <w:spacing w:before="220"/>
        <w:ind w:firstLine="540"/>
        <w:jc w:val="both"/>
      </w:pPr>
      <w:r>
        <w:t xml:space="preserve">В целях минимизации рисков, связанных с отказом в исполнении территориальными органами Федерального казначейства направленных </w:t>
      </w:r>
      <w:hyperlink r:id="rId34">
        <w:r>
          <w:rPr>
            <w:color w:val="0000FF"/>
          </w:rPr>
          <w:t>Заявок</w:t>
        </w:r>
      </w:hyperlink>
      <w:r>
        <w:t xml:space="preserve"> на кассовый расход (ф. 0531801), обращаем внимание на необходимость проведения проверки соответствия реквизитов контрагентов, указанных в документах, являющихся основанием для проведения платежа и соответствующих реквизитов документов, подтверждающих возникновение бюджетного обязательства, а также проверки не превышения сумм платежа над принятыми обязательствами.</w:t>
      </w:r>
    </w:p>
    <w:p w:rsidR="00D13696" w:rsidRDefault="00D13696">
      <w:pPr>
        <w:pStyle w:val="ConsPlusNormal"/>
        <w:spacing w:before="220"/>
        <w:ind w:firstLine="540"/>
        <w:jc w:val="both"/>
      </w:pPr>
      <w:r>
        <w:t>При этом субъектам централизованного учета, уполномоченным организациям необходимо организовать контроль прохождения платежных и иных документов, направленных для исполнения в период с 16 декабря 2024 г. по 28 декабря 2024 г., в целях обеспечения полного исполнения субъектами централизованного учета бюджетных полномочий.</w:t>
      </w:r>
    </w:p>
    <w:p w:rsidR="00D13696" w:rsidRDefault="00D13696">
      <w:pPr>
        <w:pStyle w:val="ConsPlusNormal"/>
        <w:spacing w:before="220"/>
        <w:ind w:firstLine="540"/>
        <w:jc w:val="both"/>
      </w:pPr>
      <w:r>
        <w:t>Кроме того, в целях своевременного формирования отчетности субъектов централизованного учета, а также отражения в учете операций по завершению финансового года, установлены предельные сроки представления документов (отражения событий после отчетной даты) для отражения фактов хозяйственной жизни в 2024 году (</w:t>
      </w:r>
      <w:hyperlink r:id="rId35">
        <w:r>
          <w:rPr>
            <w:color w:val="0000FF"/>
          </w:rPr>
          <w:t>приказ</w:t>
        </w:r>
      </w:hyperlink>
      <w:r>
        <w:t xml:space="preserve"> Федерального казначейства от 9 июля 2024 г. N 5н "Об утверждении Методов оценки объектов бухгалтерского учета, порядка признания (постановки на учет) и прекращения признания (выбытия из учета) объектов бухгалтерского учета, иных способов ведения бухгалтерского учета при централизации учета и Порядка признания в бухгалтерском учете и раскрытия в бухгалтерской (финансовой) отчетности событий после отчетной даты при централизации учета"):</w:t>
      </w:r>
    </w:p>
    <w:p w:rsidR="00D13696" w:rsidRDefault="00D13696">
      <w:pPr>
        <w:pStyle w:val="ConsPlusNormal"/>
        <w:spacing w:before="220"/>
        <w:ind w:firstLine="540"/>
        <w:jc w:val="both"/>
      </w:pPr>
      <w:r>
        <w:t>на основании документов, сформированных по результатам проведения годовой инвентаризации не позднее пятнадцатого февраля года, следующего за отчетным;</w:t>
      </w:r>
    </w:p>
    <w:p w:rsidR="00D13696" w:rsidRDefault="00D13696">
      <w:pPr>
        <w:pStyle w:val="ConsPlusNormal"/>
        <w:spacing w:before="220"/>
        <w:ind w:firstLine="540"/>
        <w:jc w:val="both"/>
      </w:pPr>
      <w:r>
        <w:t>на основании иных первичных учетных документов, отражающих события после отчетной даты и полученных не позднее, чем за 2 (два) рабочих дня до даты представления отчетности, но не позднее первого февраля года, следующего за отчетным.</w:t>
      </w:r>
    </w:p>
    <w:p w:rsidR="00D13696" w:rsidRDefault="00D13696">
      <w:pPr>
        <w:pStyle w:val="ConsPlusNormal"/>
        <w:spacing w:before="220"/>
        <w:ind w:firstLine="540"/>
        <w:jc w:val="both"/>
      </w:pPr>
      <w:r>
        <w:t>С учетом изложенного в целях обеспечения качественного формирования годовой бюджетной отчетности и своевременного предоставления бюджетной отчетности за 2024 год предельные сроки (даты) представления субъектами централизованного учета первичных учетных документов по операциям 2024 года, а также документов, отражающих события после отчетной даты (после 1 января 2025 г.) - не позднее 31 января 2025 г.</w:t>
      </w:r>
    </w:p>
    <w:p w:rsidR="00D13696" w:rsidRDefault="00D13696">
      <w:pPr>
        <w:pStyle w:val="ConsPlusNormal"/>
        <w:spacing w:before="220"/>
        <w:ind w:firstLine="540"/>
        <w:jc w:val="both"/>
      </w:pPr>
      <w:r>
        <w:t>Отражение документов, при условии поступления первичного учетного документа по поставке товаров, работ (услуг), произведенных (выполненных (оказанных) за период до 31 декабря 2024 г., с датой документа и подписи в текущем финансовом году до 31 января 2025 г. (включительно), осуществляется последним днем отчетного финансового года (31 декабря 2024 г.).</w:t>
      </w:r>
    </w:p>
    <w:p w:rsidR="00D13696" w:rsidRDefault="00D13696">
      <w:pPr>
        <w:pStyle w:val="ConsPlusNormal"/>
        <w:spacing w:before="220"/>
        <w:ind w:firstLine="540"/>
        <w:jc w:val="both"/>
      </w:pPr>
      <w:r>
        <w:t>В целях оформления первичных (учетных) документов по результатам инвентаризации активов и обязательств за 2024 год не позднее 14 февраля 2025 г., учитывая срок отражения событий после отчетной даты и сроки представления годовой бухгалтерской (финансовой) отчетности получателя бюджетных средств, субъектами централизованного учета необходимо обеспечить завершение мероприятий проведения обязательной инвентаризации в целях составления годовой бухгалтерской (финансовой) отчетности за 2024 год не позднее 12 февраля 2025 г.</w:t>
      </w:r>
    </w:p>
    <w:p w:rsidR="00D13696" w:rsidRDefault="00D13696">
      <w:pPr>
        <w:pStyle w:val="ConsPlusNormal"/>
        <w:spacing w:before="220"/>
        <w:ind w:firstLine="540"/>
        <w:jc w:val="both"/>
      </w:pPr>
      <w:r>
        <w:t xml:space="preserve">Документы, отражающие факты хозяйственной жизни до 1 января 2025 г., а также документы, отражающие результаты инвентаризации в целях составления годовой бухгалтерской </w:t>
      </w:r>
      <w:r>
        <w:lastRenderedPageBreak/>
        <w:t>(финансовой) отчетности за 2024 год, иные события после отчетной даты, представленные после вышеуказанных предельных сроков, подлежат отражению в бюджетном учете по дате их поступления (операциями 2025 года).</w:t>
      </w:r>
    </w:p>
    <w:p w:rsidR="00D13696" w:rsidRDefault="00D13696">
      <w:pPr>
        <w:pStyle w:val="ConsPlusNormal"/>
        <w:jc w:val="both"/>
      </w:pPr>
    </w:p>
    <w:p w:rsidR="00D13696" w:rsidRDefault="00D13696">
      <w:pPr>
        <w:pStyle w:val="ConsPlusNormal"/>
        <w:jc w:val="both"/>
      </w:pPr>
    </w:p>
    <w:p w:rsidR="00D13696" w:rsidRDefault="00D13696">
      <w:pPr>
        <w:pStyle w:val="ConsPlusNormal"/>
        <w:pBdr>
          <w:bottom w:val="single" w:sz="6" w:space="0" w:color="auto"/>
        </w:pBdr>
        <w:spacing w:before="100" w:after="100"/>
        <w:jc w:val="both"/>
        <w:rPr>
          <w:sz w:val="2"/>
          <w:szCs w:val="2"/>
        </w:rPr>
      </w:pPr>
    </w:p>
    <w:p w:rsidR="003E45A9" w:rsidRDefault="003E45A9">
      <w:bookmarkStart w:id="1" w:name="_GoBack"/>
      <w:bookmarkEnd w:id="1"/>
    </w:p>
    <w:sectPr w:rsidR="003E45A9" w:rsidSect="00A54AD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696"/>
    <w:rsid w:val="003E45A9"/>
    <w:rsid w:val="00D136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13696"/>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D13696"/>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D13696"/>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13696"/>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D13696"/>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D13696"/>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B&amp;n=458258" TargetMode="External"/><Relationship Id="rId13" Type="http://schemas.openxmlformats.org/officeDocument/2006/relationships/hyperlink" Target="https://login.consultant.ru/link/?req=doc&amp;base=RZB&amp;n=482794&amp;dst=105856" TargetMode="External"/><Relationship Id="rId18" Type="http://schemas.openxmlformats.org/officeDocument/2006/relationships/hyperlink" Target="https://login.consultant.ru/link/?req=doc&amp;base=RZB&amp;n=482794&amp;dst=100014" TargetMode="External"/><Relationship Id="rId26" Type="http://schemas.openxmlformats.org/officeDocument/2006/relationships/hyperlink" Target="https://login.consultant.ru/link/?req=doc&amp;base=RZB&amp;n=482794&amp;dst=100014" TargetMode="External"/><Relationship Id="rId3" Type="http://schemas.openxmlformats.org/officeDocument/2006/relationships/settings" Target="settings.xml"/><Relationship Id="rId21" Type="http://schemas.openxmlformats.org/officeDocument/2006/relationships/hyperlink" Target="https://login.consultant.ru/link/?req=doc&amp;base=RZB&amp;n=482794&amp;dst=100014" TargetMode="External"/><Relationship Id="rId34" Type="http://schemas.openxmlformats.org/officeDocument/2006/relationships/hyperlink" Target="https://login.consultant.ru/link/?req=doc&amp;base=RZB&amp;n=438641&amp;dst=1275" TargetMode="External"/><Relationship Id="rId7" Type="http://schemas.openxmlformats.org/officeDocument/2006/relationships/hyperlink" Target="https://login.consultant.ru/link/?req=doc&amp;base=RZB&amp;n=482794&amp;dst=100014" TargetMode="External"/><Relationship Id="rId12" Type="http://schemas.openxmlformats.org/officeDocument/2006/relationships/hyperlink" Target="https://login.consultant.ru/link/?req=doc&amp;base=RZB&amp;n=482794&amp;dst=100014" TargetMode="External"/><Relationship Id="rId17" Type="http://schemas.openxmlformats.org/officeDocument/2006/relationships/hyperlink" Target="https://login.consultant.ru/link/?req=doc&amp;base=RZB&amp;n=438641" TargetMode="External"/><Relationship Id="rId25" Type="http://schemas.openxmlformats.org/officeDocument/2006/relationships/hyperlink" Target="https://login.consultant.ru/link/?req=doc&amp;base=RZB&amp;n=482794&amp;dst=101956" TargetMode="External"/><Relationship Id="rId33" Type="http://schemas.openxmlformats.org/officeDocument/2006/relationships/hyperlink" Target="https://login.consultant.ru/link/?req=doc&amp;base=RZB&amp;n=482794&amp;dst=101533" TargetMode="External"/><Relationship Id="rId2" Type="http://schemas.microsoft.com/office/2007/relationships/stylesWithEffects" Target="stylesWithEffects.xml"/><Relationship Id="rId16" Type="http://schemas.openxmlformats.org/officeDocument/2006/relationships/hyperlink" Target="https://login.consultant.ru/link/?req=doc&amp;base=RZB&amp;n=482794&amp;dst=100014" TargetMode="External"/><Relationship Id="rId20" Type="http://schemas.openxmlformats.org/officeDocument/2006/relationships/hyperlink" Target="https://login.consultant.ru/link/?req=doc&amp;base=RZB&amp;n=449920&amp;dst=100009" TargetMode="External"/><Relationship Id="rId29" Type="http://schemas.openxmlformats.org/officeDocument/2006/relationships/hyperlink" Target="https://login.consultant.ru/link/?req=doc&amp;base=RZB&amp;n=482794&amp;dst=100014" TargetMode="External"/><Relationship Id="rId1" Type="http://schemas.openxmlformats.org/officeDocument/2006/relationships/styles" Target="styles.xml"/><Relationship Id="rId6" Type="http://schemas.openxmlformats.org/officeDocument/2006/relationships/hyperlink" Target="https://login.consultant.ru/link/?req=doc&amp;base=RZB&amp;n=467650&amp;dst=100024" TargetMode="External"/><Relationship Id="rId11" Type="http://schemas.openxmlformats.org/officeDocument/2006/relationships/hyperlink" Target="https://login.consultant.ru/link/?req=doc&amp;base=RZB&amp;n=482794&amp;dst=100014" TargetMode="External"/><Relationship Id="rId24" Type="http://schemas.openxmlformats.org/officeDocument/2006/relationships/hyperlink" Target="https://login.consultant.ru/link/?req=doc&amp;base=RZB&amp;n=482794&amp;dst=101544" TargetMode="External"/><Relationship Id="rId32" Type="http://schemas.openxmlformats.org/officeDocument/2006/relationships/hyperlink" Target="https://login.consultant.ru/link/?req=doc&amp;base=RZB&amp;n=482794&amp;dst=101524" TargetMode="External"/><Relationship Id="rId37" Type="http://schemas.openxmlformats.org/officeDocument/2006/relationships/theme" Target="theme/theme1.xml"/><Relationship Id="rId5" Type="http://schemas.openxmlformats.org/officeDocument/2006/relationships/hyperlink" Target="https://www.consultant.ru" TargetMode="External"/><Relationship Id="rId15" Type="http://schemas.openxmlformats.org/officeDocument/2006/relationships/hyperlink" Target="https://login.consultant.ru/link/?req=doc&amp;base=RZB&amp;n=449920&amp;dst=2" TargetMode="External"/><Relationship Id="rId23" Type="http://schemas.openxmlformats.org/officeDocument/2006/relationships/hyperlink" Target="https://login.consultant.ru/link/?req=doc&amp;base=RZB&amp;n=482794&amp;dst=101654" TargetMode="External"/><Relationship Id="rId28" Type="http://schemas.openxmlformats.org/officeDocument/2006/relationships/hyperlink" Target="https://login.consultant.ru/link/?req=doc&amp;base=RZB&amp;n=482794&amp;dst=101838" TargetMode="External"/><Relationship Id="rId36" Type="http://schemas.openxmlformats.org/officeDocument/2006/relationships/fontTable" Target="fontTable.xml"/><Relationship Id="rId10" Type="http://schemas.openxmlformats.org/officeDocument/2006/relationships/hyperlink" Target="https://login.consultant.ru/link/?req=doc&amp;base=RZB&amp;n=482794&amp;dst=100014" TargetMode="External"/><Relationship Id="rId19" Type="http://schemas.openxmlformats.org/officeDocument/2006/relationships/hyperlink" Target="https://login.consultant.ru/link/?req=doc&amp;base=RZB&amp;n=482794&amp;dst=100014" TargetMode="External"/><Relationship Id="rId31" Type="http://schemas.openxmlformats.org/officeDocument/2006/relationships/hyperlink" Target="https://login.consultant.ru/link/?req=doc&amp;base=RZB&amp;n=482794&amp;dst=102997" TargetMode="External"/><Relationship Id="rId4" Type="http://schemas.openxmlformats.org/officeDocument/2006/relationships/webSettings" Target="webSettings.xml"/><Relationship Id="rId9" Type="http://schemas.openxmlformats.org/officeDocument/2006/relationships/hyperlink" Target="https://login.consultant.ru/link/?req=doc&amp;base=RZB&amp;n=482794&amp;dst=100014" TargetMode="External"/><Relationship Id="rId14" Type="http://schemas.openxmlformats.org/officeDocument/2006/relationships/hyperlink" Target="https://login.consultant.ru/link/?req=doc&amp;base=RZB&amp;n=464181" TargetMode="External"/><Relationship Id="rId22" Type="http://schemas.openxmlformats.org/officeDocument/2006/relationships/hyperlink" Target="https://login.consultant.ru/link/?req=doc&amp;base=RZB&amp;n=482794&amp;dst=102208" TargetMode="External"/><Relationship Id="rId27" Type="http://schemas.openxmlformats.org/officeDocument/2006/relationships/hyperlink" Target="https://login.consultant.ru/link/?req=doc&amp;base=RZB&amp;n=482794&amp;dst=101544" TargetMode="External"/><Relationship Id="rId30" Type="http://schemas.openxmlformats.org/officeDocument/2006/relationships/hyperlink" Target="https://login.consultant.ru/link/?req=doc&amp;base=RZB&amp;n=482794&amp;dst=102970" TargetMode="External"/><Relationship Id="rId35" Type="http://schemas.openxmlformats.org/officeDocument/2006/relationships/hyperlink" Target="https://login.consultant.ru/link/?req=doc&amp;base=RZB&amp;n=48483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2288</Words>
  <Characters>13045</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CB-ADM-1</dc:creator>
  <cp:lastModifiedBy>CB-ADM-1</cp:lastModifiedBy>
  <cp:revision>1</cp:revision>
  <dcterms:created xsi:type="dcterms:W3CDTF">2024-12-24T08:25:00Z</dcterms:created>
  <dcterms:modified xsi:type="dcterms:W3CDTF">2024-12-24T08:26:00Z</dcterms:modified>
</cp:coreProperties>
</file>